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color w:val="EE0000"/>
          <w:u w:color="EE0000"/>
        </w:rPr>
      </w:pPr>
      <w:bookmarkStart w:id="0" w:name="_GoBack"/>
      <w:bookmarkEnd w:id="0"/>
      <w:r>
        <w:rPr>
          <w:rFonts w:ascii="Calibri" w:hAnsi="Calibri"/>
          <w:b/>
          <w:bCs/>
          <w:color w:val="EE0000"/>
          <w:u w:color="EE0000"/>
        </w:rPr>
        <w:t>«ЭНДОВИДЕОХИРУРГИЯ»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i/>
          <w:iCs/>
          <w:u w:color="000000"/>
        </w:rPr>
      </w:pPr>
      <w:r>
        <w:rPr>
          <w:rFonts w:ascii="Calibri" w:hAnsi="Calibri"/>
          <w:i/>
          <w:iCs/>
          <w:u w:color="000000"/>
        </w:rPr>
        <w:t>Отбор включает в себе 2 этапа: теоретический и практический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ТЕОРЕТИЧЕСКАЯ ЧАСТЬ 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Устройство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стойки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Абсолютные и относительные противопоказания для выполнения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операции. 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Показания для конверсии при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операции.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Виды и диагностика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лапароскопических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осложнений.</w:t>
      </w:r>
    </w:p>
    <w:p w:rsidR="00882C45" w:rsidRDefault="00882C45" w:rsidP="00882C45">
      <w:pPr>
        <w:numPr>
          <w:ilvl w:val="0"/>
          <w:numId w:val="2"/>
        </w:numPr>
        <w:spacing w:line="276" w:lineRule="auto"/>
        <w:jc w:val="both"/>
        <w:rPr>
          <w:rFonts w:ascii="Calibri" w:hAnsi="Calibri" w:cs="Arial Unicode MS"/>
          <w:b/>
          <w:bCs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Этапы наложения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пневмоперитонеума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 Понятие о внутрибрюшном давлении.</w:t>
      </w:r>
    </w:p>
    <w:p w:rsidR="00882C45" w:rsidRDefault="00882C45" w:rsidP="00882C45">
      <w:pPr>
        <w:numPr>
          <w:ilvl w:val="0"/>
          <w:numId w:val="2"/>
        </w:numPr>
        <w:spacing w:after="200" w:line="276" w:lineRule="auto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Способы создания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пневмоперитонеума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при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лапароскопических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операциях.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Пробы для проверки нахождения иглы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Вереша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или троакара в брюшной полости.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Этапы ревизии органов брюшной полости при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лапароскопической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операции.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Желудок. Топография. Строение стенки.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Иннервация и кровоснабжение желудка.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Венозный отток от желудка.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Симптомы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перфоративной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язвы желудка и двенадцатиперстной кишки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Диагностика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перфоративной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язвы желудка </w:t>
      </w:r>
      <w:proofErr w:type="gram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и 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двенадцатиперстой</w:t>
      </w:r>
      <w:proofErr w:type="spellEnd"/>
      <w:proofErr w:type="gram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кишки.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Способы малоинвазивных вмешательств при лечении прободной язвы желудка.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Демпинг-синдром. Клиника. Диагностика. Лечение.</w:t>
      </w:r>
    </w:p>
    <w:p w:rsidR="00882C45" w:rsidRDefault="00882C45" w:rsidP="00882C45">
      <w:pPr>
        <w:numPr>
          <w:ilvl w:val="0"/>
          <w:numId w:val="2"/>
        </w:numP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Экстренная диагностика желудочно-кишечного кровотечения, оценка степени тяжести кровотечения.</w:t>
      </w:r>
    </w:p>
    <w:p w:rsidR="00882C45" w:rsidRDefault="00882C45" w:rsidP="00882C45">
      <w:pPr>
        <w:numPr>
          <w:ilvl w:val="0"/>
          <w:numId w:val="2"/>
        </w:numPr>
        <w:jc w:val="both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Методы эндоскопического гемостаза, оценка эффективности, характер гемостаза при эндоскопии. 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ПРАКТИЧЕСКАЯ ЧАСТЬ 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ЛАПАРОСКОПИЧЕСКОЕ УШИВАНИЕ ПРОБОДНОЙ ЯЗВЫ ЖЕЛУДКА С ПОДШИВАНИЕМ ПРЯДИ САЛЬНИКА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Моделируемая клиническая ситуация: </w:t>
      </w:r>
      <w:r>
        <w:rPr>
          <w:rFonts w:ascii="Calibri" w:hAnsi="Calibri"/>
          <w:u w:color="000000"/>
        </w:rPr>
        <w:t>Прободение язвы 10 мм передней стенки тела желудка.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Задание: </w:t>
      </w:r>
      <w:r>
        <w:rPr>
          <w:rFonts w:ascii="Calibri" w:hAnsi="Calibri"/>
          <w:u w:color="000000"/>
        </w:rPr>
        <w:t xml:space="preserve">выполнить </w:t>
      </w:r>
      <w:proofErr w:type="spellStart"/>
      <w:r>
        <w:rPr>
          <w:rFonts w:ascii="Calibri" w:hAnsi="Calibri"/>
          <w:u w:color="000000"/>
        </w:rPr>
        <w:t>ушивание</w:t>
      </w:r>
      <w:proofErr w:type="spellEnd"/>
      <w:r>
        <w:rPr>
          <w:rFonts w:ascii="Calibri" w:hAnsi="Calibri"/>
          <w:u w:color="000000"/>
        </w:rPr>
        <w:t xml:space="preserve"> прободной язвы желудка с подшиванием пряди сальника в виде плаща по линии шва.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Примечания: </w:t>
      </w:r>
      <w:r>
        <w:rPr>
          <w:rFonts w:ascii="Calibri" w:hAnsi="Calibri"/>
          <w:u w:color="000000"/>
        </w:rPr>
        <w:t xml:space="preserve">Методика </w:t>
      </w:r>
      <w:proofErr w:type="spellStart"/>
      <w:r>
        <w:rPr>
          <w:rFonts w:ascii="Calibri" w:hAnsi="Calibri"/>
          <w:u w:color="000000"/>
        </w:rPr>
        <w:t>ушивания</w:t>
      </w:r>
      <w:proofErr w:type="spellEnd"/>
      <w:r>
        <w:rPr>
          <w:rFonts w:ascii="Calibri" w:hAnsi="Calibri"/>
          <w:u w:color="000000"/>
        </w:rPr>
        <w:t xml:space="preserve"> прободной язвы на усмотрение команды. 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Время выполнения: </w:t>
      </w:r>
      <w:r>
        <w:rPr>
          <w:rFonts w:ascii="Calibri" w:hAnsi="Calibri"/>
          <w:u w:color="000000"/>
        </w:rPr>
        <w:t>30 минут.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Состав бригады: </w:t>
      </w:r>
      <w:r>
        <w:rPr>
          <w:rFonts w:ascii="Calibri" w:hAnsi="Calibri"/>
          <w:u w:color="000000"/>
        </w:rPr>
        <w:t>2 человека: оператор, ассистент.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Предоставляемое оборудование:</w:t>
      </w:r>
      <w:r>
        <w:rPr>
          <w:rFonts w:ascii="Calibri" w:hAnsi="Calibri"/>
          <w:u w:color="000000"/>
        </w:rPr>
        <w:t xml:space="preserve"> </w:t>
      </w:r>
      <w:proofErr w:type="spellStart"/>
      <w:r>
        <w:rPr>
          <w:rFonts w:ascii="Calibri" w:hAnsi="Calibri"/>
          <w:u w:color="000000"/>
        </w:rPr>
        <w:t>эндовидеохирургический</w:t>
      </w:r>
      <w:proofErr w:type="spellEnd"/>
      <w:r>
        <w:rPr>
          <w:rFonts w:ascii="Calibri" w:hAnsi="Calibri"/>
          <w:u w:color="000000"/>
        </w:rPr>
        <w:t xml:space="preserve"> тренажёр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Предоставляемый материал: </w:t>
      </w:r>
      <w:r>
        <w:rPr>
          <w:rFonts w:ascii="Calibri" w:hAnsi="Calibri"/>
          <w:u w:color="000000"/>
        </w:rPr>
        <w:t>Свиной желудок с язвенным дефектом передней стенки тела желудка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lastRenderedPageBreak/>
        <w:t xml:space="preserve">Предоставляемые инструменты: </w:t>
      </w:r>
      <w:r>
        <w:rPr>
          <w:rFonts w:ascii="Calibri" w:hAnsi="Calibri"/>
          <w:u w:color="000000"/>
        </w:rPr>
        <w:t xml:space="preserve">Иглодержатель, ножницы, диссекторы – 2 шт. 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240" w:line="240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 xml:space="preserve">Шовный материал: </w:t>
      </w:r>
      <w:r>
        <w:rPr>
          <w:rFonts w:ascii="Calibri" w:hAnsi="Calibri"/>
          <w:u w:color="000000"/>
        </w:rPr>
        <w:t>рассасывающийся шовный материал</w:t>
      </w:r>
      <w:r>
        <w:rPr>
          <w:rFonts w:ascii="Calibri" w:hAnsi="Calibri"/>
          <w:b/>
          <w:bCs/>
          <w:u w:color="000000"/>
        </w:rPr>
        <w:t xml:space="preserve"> - </w:t>
      </w:r>
      <w:r>
        <w:rPr>
          <w:rFonts w:ascii="Calibri" w:hAnsi="Calibri"/>
          <w:u w:color="000000"/>
        </w:rPr>
        <w:t>нить ПГА 3/0 с одной атравматической колющей иглой – 2 шт.</w:t>
      </w: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w:drawing>
          <wp:inline distT="0" distB="0" distL="0" distR="0" wp14:anchorId="0776A42C" wp14:editId="6D84DFC2">
            <wp:extent cx="4959375" cy="3978235"/>
            <wp:effectExtent l="0" t="0" r="0" b="0"/>
            <wp:docPr id="1073741917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b="14497"/>
                    <a:stretch>
                      <a:fillRect/>
                    </a:stretch>
                  </pic:blipFill>
                  <pic:spPr>
                    <a:xfrm>
                      <a:off x="0" y="0"/>
                      <a:ext cx="4959375" cy="3978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8290" w:type="dxa"/>
        <w:tblInd w:w="108" w:type="dxa"/>
        <w:tblBorders>
          <w:top w:val="single" w:sz="4" w:space="0" w:color="5B5B5B"/>
          <w:left w:val="single" w:sz="4" w:space="0" w:color="5B5B5B"/>
          <w:bottom w:val="single" w:sz="4" w:space="0" w:color="5B5B5B"/>
          <w:right w:val="single" w:sz="4" w:space="0" w:color="5B5B5B"/>
          <w:insideH w:val="single" w:sz="4" w:space="0" w:color="5E5F5F"/>
          <w:insideV w:val="single" w:sz="4" w:space="0" w:color="5E5F5F"/>
        </w:tblBorders>
        <w:shd w:val="clear" w:color="auto" w:fill="E8A5B1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145"/>
      </w:tblGrid>
      <w:tr w:rsidR="00882C45" w:rsidTr="0015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tblHeader/>
        </w:trPr>
        <w:tc>
          <w:tcPr>
            <w:tcW w:w="4145" w:type="dxa"/>
            <w:tcBorders>
              <w:top w:val="single" w:sz="4" w:space="0" w:color="5E5F5F"/>
              <w:left w:val="single" w:sz="4" w:space="0" w:color="5E5F5F"/>
              <w:bottom w:val="single" w:sz="8" w:space="0" w:color="5B5B5B"/>
              <w:right w:val="single" w:sz="4" w:space="0" w:color="FFFFF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1"/>
              <w:jc w:val="center"/>
            </w:pPr>
            <w:r>
              <w:t xml:space="preserve">Критерии оценки </w:t>
            </w:r>
          </w:p>
        </w:tc>
        <w:tc>
          <w:tcPr>
            <w:tcW w:w="4145" w:type="dxa"/>
            <w:tcBorders>
              <w:top w:val="single" w:sz="4" w:space="0" w:color="5E5F5F"/>
              <w:left w:val="single" w:sz="4" w:space="0" w:color="FFFFFF"/>
              <w:bottom w:val="single" w:sz="8" w:space="0" w:color="5B5B5B"/>
              <w:right w:val="single" w:sz="4" w:space="0" w:color="5E5F5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1"/>
              <w:jc w:val="center"/>
            </w:pPr>
            <w:r>
              <w:t>Количество баллов</w:t>
            </w:r>
          </w:p>
        </w:tc>
      </w:tr>
      <w:tr w:rsidR="00882C45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/>
        </w:trPr>
        <w:tc>
          <w:tcPr>
            <w:tcW w:w="4145" w:type="dxa"/>
            <w:tcBorders>
              <w:top w:val="single" w:sz="8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eastAsia="Arial Unicode MS" w:cs="Arial Unicode MS"/>
              </w:rPr>
              <w:t>Герметичность анастомоза</w:t>
            </w:r>
          </w:p>
          <w:p w:rsidR="00882C45" w:rsidRDefault="00882C45" w:rsidP="00153C0A">
            <w:pPr>
              <w:pStyle w:val="2"/>
            </w:pPr>
            <w:r>
              <w:rPr>
                <w:rFonts w:eastAsia="Arial Unicode MS" w:cs="Arial Unicode MS"/>
              </w:rPr>
              <w:t>(после ограничения участка моделируемой язвы желудочными жомами с помощью шприца вводится вода)</w:t>
            </w:r>
          </w:p>
        </w:tc>
        <w:tc>
          <w:tcPr>
            <w:tcW w:w="4145" w:type="dxa"/>
            <w:tcBorders>
              <w:top w:val="single" w:sz="8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3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Полная герметичность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Капельное просачивание жидкости 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–Диффузное просачивание жидкости 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0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Струйное </w:t>
            </w:r>
            <w:proofErr w:type="spellStart"/>
            <w:r>
              <w:rPr>
                <w:rFonts w:ascii="Calibri" w:hAnsi="Calibri"/>
                <w:sz w:val="20"/>
                <w:szCs w:val="20"/>
                <w:u w:color="000000"/>
              </w:rPr>
              <w:t>подтекание</w:t>
            </w:r>
            <w:proofErr w:type="spellEnd"/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жидкости</w:t>
            </w:r>
          </w:p>
        </w:tc>
      </w:tr>
      <w:tr w:rsidR="00882C45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eastAsia="Arial Unicode MS" w:cs="Arial Unicode MS"/>
              </w:rPr>
              <w:t>Техника наложения шва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Стежки не видны со стороны слизистой желудка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Видны единичные (1-</w:t>
            </w:r>
            <w:proofErr w:type="gramStart"/>
            <w:r>
              <w:rPr>
                <w:rFonts w:ascii="Calibri" w:hAnsi="Calibri"/>
                <w:sz w:val="20"/>
                <w:szCs w:val="20"/>
                <w:u w:color="000000"/>
              </w:rPr>
              <w:t>2)стежки</w:t>
            </w:r>
            <w:proofErr w:type="gramEnd"/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0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Более </w:t>
            </w:r>
            <w:proofErr w:type="gramStart"/>
            <w:r>
              <w:rPr>
                <w:rFonts w:ascii="Calibri" w:hAnsi="Calibri"/>
                <w:sz w:val="20"/>
                <w:szCs w:val="20"/>
                <w:u w:color="000000"/>
              </w:rPr>
              <w:t>2  стежков</w:t>
            </w:r>
            <w:proofErr w:type="gramEnd"/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захватывают слизистую оболочку, они видны в просвете желудка, слизистая оболочка </w:t>
            </w:r>
            <w:proofErr w:type="spellStart"/>
            <w:r>
              <w:rPr>
                <w:rFonts w:ascii="Calibri" w:hAnsi="Calibri"/>
                <w:sz w:val="20"/>
                <w:szCs w:val="20"/>
                <w:u w:color="000000"/>
              </w:rPr>
              <w:t>пролабирует</w:t>
            </w:r>
            <w:proofErr w:type="spellEnd"/>
          </w:p>
        </w:tc>
      </w:tr>
      <w:tr w:rsidR="00882C45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ascii="Calibri" w:hAnsi="Calibri"/>
              </w:rPr>
              <w:t>Эстетичность шва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>2 балла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– одинаковые расстояния между стежками и одинаковые направления стежков, равномерное затягивание нитей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 xml:space="preserve">– 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>За отсутствие каждого из параметров снимается по одному баллу, вплоть до 0 баллов</w:t>
            </w:r>
          </w:p>
        </w:tc>
      </w:tr>
      <w:tr w:rsidR="00882C45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8290" w:type="dxa"/>
            <w:gridSpan w:val="2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  <w:jc w:val="center"/>
            </w:pPr>
            <w:r>
              <w:rPr>
                <w:rFonts w:ascii="Proxima Nova" w:hAnsi="Proxima Nova"/>
                <w:b/>
                <w:bCs/>
              </w:rPr>
              <w:t>Дополнительные критерии оценки</w:t>
            </w:r>
          </w:p>
        </w:tc>
      </w:tr>
      <w:tr w:rsidR="00882C45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eastAsia="Arial Unicode MS" w:cs="Arial Unicode MS"/>
              </w:rPr>
              <w:lastRenderedPageBreak/>
              <w:t>Время операции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3 </w:t>
            </w:r>
            <w:r w:rsidRPr="00BA6929">
              <w:rPr>
                <w:rFonts w:ascii="Proxima Nova" w:hAnsi="Proxima Nova"/>
                <w:b/>
                <w:bCs/>
              </w:rPr>
              <w:t xml:space="preserve">- </w:t>
            </w:r>
            <w:r>
              <w:t>20 мин и менее</w:t>
            </w:r>
          </w:p>
          <w:p w:rsidR="00882C45" w:rsidRDefault="00882C45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2 </w:t>
            </w:r>
            <w:r w:rsidRPr="00BA6929">
              <w:rPr>
                <w:rFonts w:ascii="Proxima Nova" w:hAnsi="Proxima Nova"/>
                <w:b/>
                <w:bCs/>
              </w:rPr>
              <w:t xml:space="preserve">- </w:t>
            </w:r>
            <w:r>
              <w:t>20-25 мин</w:t>
            </w:r>
          </w:p>
          <w:p w:rsidR="00882C45" w:rsidRDefault="00882C45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1 </w:t>
            </w:r>
            <w:r w:rsidRPr="00BA6929">
              <w:rPr>
                <w:rFonts w:ascii="Proxima Nova" w:hAnsi="Proxima Nova"/>
                <w:b/>
                <w:bCs/>
              </w:rPr>
              <w:t xml:space="preserve">- </w:t>
            </w:r>
            <w:r>
              <w:t>25-30 мин</w:t>
            </w:r>
          </w:p>
          <w:p w:rsidR="00882C45" w:rsidRDefault="00882C45" w:rsidP="00153C0A">
            <w:pPr>
              <w:pStyle w:val="2"/>
            </w:pPr>
            <w:r>
              <w:rPr>
                <w:rFonts w:ascii="Proxima Nova" w:hAnsi="Proxima Nova"/>
                <w:b/>
                <w:bCs/>
              </w:rPr>
              <w:t xml:space="preserve">0 </w:t>
            </w:r>
            <w:r w:rsidRPr="00BA6929">
              <w:rPr>
                <w:rFonts w:ascii="Proxima Nova" w:hAnsi="Proxima Nova"/>
                <w:b/>
                <w:bCs/>
              </w:rPr>
              <w:t xml:space="preserve">- </w:t>
            </w:r>
            <w:r>
              <w:t>более 30 мин = остановка времени!</w:t>
            </w:r>
          </w:p>
        </w:tc>
      </w:tr>
      <w:tr w:rsidR="00882C45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Слаженность работы бригады: правильная работа хирурга и ассистента (натяжение нити и пр.)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1 – 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Полное взаимопонимание среди членов Бригады, знание каждым членом Бригады всех этапов оперативного вмешательства, полное соблюдение принципов аккуратной, безопасной и эффективной работы с инструментами (отсутствие чрезмерно размашистых движений инструментом, работа инструментами в поле зрения).</w:t>
            </w:r>
          </w:p>
        </w:tc>
      </w:tr>
      <w:tr w:rsidR="00882C45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ascii="Calibri" w:hAnsi="Calibri"/>
              </w:rPr>
              <w:t>Теоретическая подготовка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 xml:space="preserve">3 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>– Все ответы верны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 xml:space="preserve">2 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>– Неправильный 1 ответ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sz w:val="20"/>
                <w:szCs w:val="20"/>
                <w:u w:color="00000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 xml:space="preserve">1 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>– Неправильные 2 ответа</w:t>
            </w:r>
          </w:p>
          <w:p w:rsidR="00882C45" w:rsidRDefault="00882C45" w:rsidP="00153C0A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</w:rPr>
              <w:t xml:space="preserve">0 </w:t>
            </w:r>
            <w:r>
              <w:rPr>
                <w:rFonts w:ascii="Calibri" w:hAnsi="Calibri"/>
                <w:sz w:val="20"/>
                <w:szCs w:val="20"/>
                <w:u w:color="000000"/>
              </w:rPr>
              <w:t>– Все ответы неверны</w:t>
            </w:r>
          </w:p>
        </w:tc>
      </w:tr>
      <w:tr w:rsidR="00882C45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E5F5F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</w:pPr>
            <w:r>
              <w:rPr>
                <w:rFonts w:eastAsia="Arial Unicode MS" w:cs="Arial Unicode MS"/>
              </w:rPr>
              <w:t>Максимальное количество баллов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E5F5F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C45" w:rsidRDefault="00882C45" w:rsidP="00153C0A">
            <w:pPr>
              <w:pStyle w:val="2"/>
              <w:jc w:val="center"/>
            </w:pPr>
            <w:r>
              <w:rPr>
                <w:rFonts w:ascii="Proxima Nova" w:hAnsi="Proxima Nova"/>
                <w:b/>
                <w:bCs/>
              </w:rPr>
              <w:t>14</w:t>
            </w:r>
          </w:p>
        </w:tc>
      </w:tr>
    </w:tbl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jc w:val="both"/>
        <w:rPr>
          <w:rFonts w:ascii="Calibri" w:eastAsia="Calibri" w:hAnsi="Calibri" w:cs="Calibri"/>
          <w:b/>
          <w:bCs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FC4844" w:rsidRDefault="00FC4844"/>
    <w:sectPr w:rsidR="00FC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ela Text Regular">
    <w:altName w:val="Times New Roman"/>
    <w:charset w:val="00"/>
    <w:family w:val="roman"/>
    <w:pitch w:val="default"/>
  </w:font>
  <w:font w:name="Proxima Nova">
    <w:altName w:val="Times New Roman"/>
    <w:charset w:val="00"/>
    <w:family w:val="roman"/>
    <w:pitch w:val="default"/>
  </w:font>
  <w:font w:name="Proxima Nova Medium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F3792"/>
    <w:multiLevelType w:val="hybridMultilevel"/>
    <w:tmpl w:val="DF881AFA"/>
    <w:numStyleLink w:val="9"/>
  </w:abstractNum>
  <w:abstractNum w:abstractNumId="1">
    <w:nsid w:val="6F3C13B6"/>
    <w:multiLevelType w:val="hybridMultilevel"/>
    <w:tmpl w:val="DF881AFA"/>
    <w:styleLink w:val="9"/>
    <w:lvl w:ilvl="0" w:tplc="5CEE9F2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924A44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50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072AC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22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CFEB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94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B41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6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32296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38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ABD1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</w:tabs>
        <w:ind w:left="510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5E2BBC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</w:tabs>
        <w:ind w:left="58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C4427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</w:tabs>
        <w:ind w:left="654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45"/>
    <w:rsid w:val="00882C45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2DCFB-93C1-4814-9FB1-7FAFFC62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По умолчанию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16" w:lineRule="auto"/>
    </w:pPr>
    <w:rPr>
      <w:rFonts w:ascii="Canela Text Regular" w:eastAsia="Arial Unicode MS" w:hAnsi="Canela Text Regular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Стиль таблицы 1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" w:eastAsia="Proxima Nova" w:hAnsi="Proxima Nova" w:cs="Proxima Nova"/>
      <w:b/>
      <w:bCs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 Medium" w:eastAsia="Proxima Nova Medium" w:hAnsi="Proxima Nova Medium" w:cs="Proxima Nova Medium"/>
      <w:color w:val="444444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9">
    <w:name w:val="Импортированный стиль 9"/>
    <w:rsid w:val="00882C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2026-08-20T12:25:00Z</dcterms:created>
  <dcterms:modified xsi:type="dcterms:W3CDTF">2026-08-20T12:25:00Z</dcterms:modified>
</cp:coreProperties>
</file>